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52177c" w:val="clear"/>
        <w:spacing w:after="0" w:before="200"/>
        <w:ind w:left="0" w:right="0"/>
        <w:jc w:val="center"/>
      </w:pPr>
      <w:r>
        <w:rPr>
          <w:rFonts w:ascii="Arial" w:cs="Arial" w:eastAsia="Arial" w:hAnsi="Arial"/>
          <w:b/>
          <w:bCs/>
          <w:color w:val="FFFFFF"/>
          <w:sz w:val="52"/>
          <w:szCs w:val="52"/>
        </w:rPr>
        <w:t xml:space="preserve">Business MOT</w:t>
      </w:r>
    </w:p>
    <w:p>
      <w:pPr>
        <w:shd w:fill="52177c" w:val="clear"/>
        <w:spacing w:after="0" w:before="0"/>
        <w:jc w:val="center"/>
      </w:pPr>
      <w:r>
        <w:rPr>
          <w:rFonts w:ascii="Arial" w:cs="Arial" w:eastAsia="Arial" w:hAnsi="Arial"/>
          <w:b w:val="false"/>
          <w:bCs w:val="false"/>
          <w:color w:val="eddff0"/>
          <w:sz w:val="26"/>
          <w:szCs w:val="26"/>
        </w:rPr>
        <w:t xml:space="preserve">Finding Your Figures — A Guide for Business Owners</w:t>
      </w:r>
    </w:p>
    <w:p>
      <w:pPr>
        <w:shd w:fill="3a0f57" w:val="clear"/>
        <w:spacing w:after="200" w:before="0"/>
        <w:jc w:val="center"/>
      </w:pPr>
      <w:r>
        <w:rPr>
          <w:rFonts w:ascii="Arial" w:cs="Arial" w:eastAsia="Arial" w:hAnsi="Arial"/>
          <w:i/>
          <w:iCs/>
          <w:color w:val="eddff0"/>
          <w:sz w:val="20"/>
          <w:szCs w:val="20"/>
        </w:rPr>
        <w:t xml:space="preserve">Purple Squirrel Consultancy Ltd  |  Financial Clarity for Confident Decisions</w:t>
      </w:r>
    </w:p>
    <w:p>
      <w:pPr>
        <w:spacing w:after="160" w:before="0"/>
      </w:pPr>
      <w:r>
        <w:t xml:space="preserve"/>
      </w:r>
    </w:p>
    <w:p>
      <w:pPr>
        <w:spacing w:after="60" w:before="60"/>
      </w:pPr>
      <w:r>
        <w:rPr>
          <w:rFonts w:ascii="Arial" w:cs="Arial" w:eastAsia="Arial" w:hAnsi="Arial"/>
          <w:color w:val="2D2D2D"/>
          <w:sz w:val="22"/>
          <w:szCs w:val="22"/>
        </w:rPr>
        <w:t xml:space="preserve">This guide explains where to find the figures you need to complete your Business MOT Report. Everything you need is contained in just two standard reports that any accounting software can produce: your Profit &amp; Loss report and your Balance Sheet.</w:t>
      </w:r>
    </w:p>
    <w:p>
      <w:pPr>
        <w:spacing w:after="80" w:before="0"/>
      </w:pPr>
      <w:r>
        <w:t xml:space="preserve"/>
      </w:r>
    </w:p>
    <w:p>
      <w:pPr>
        <w:pBdr>
          <w:bottom w:val="single" w:color="52177c" w:sz="4"/>
        </w:pBdr>
        <w:spacing w:after="100" w:before="280"/>
      </w:pPr>
      <w:r>
        <w:rPr>
          <w:rFonts w:ascii="Arial" w:cs="Arial" w:eastAsia="Arial" w:hAnsi="Arial"/>
          <w:b/>
          <w:bCs/>
          <w:color w:val="3a0f57"/>
          <w:sz w:val="26"/>
          <w:szCs w:val="26"/>
        </w:rPr>
        <w:t xml:space="preserve">The two reports you need</w:t>
      </w:r>
    </w:p>
    <w:p>
      <w:pPr>
        <w:spacing w:after="60" w:before="60"/>
      </w:pPr>
      <w:r>
        <w:rPr>
          <w:rFonts w:ascii="Arial" w:cs="Arial" w:eastAsia="Arial" w:hAnsi="Arial"/>
          <w:color w:val="2D2D2D"/>
          <w:sz w:val="22"/>
          <w:szCs w:val="22"/>
        </w:rPr>
        <w:t xml:space="preserve">Before searching for individual figures, run these two reports first — set to your full financial year or reporting period:</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2"/>
                <w:szCs w:val="22"/>
              </w:rPr>
              <w:t xml:space="preserve">Report</w:t>
            </w:r>
          </w:p>
        </w:tc>
        <w:tc>
          <w:tcPr>
            <w:tcW w:type="dxa" w:w="6526"/>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2"/>
                <w:szCs w:val="22"/>
              </w:rPr>
              <w:t xml:space="preserve">Where to find it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Profit &amp; Loss</w:t>
            </w:r>
          </w:p>
        </w:tc>
        <w:tc>
          <w:tcPr>
            <w:tcW w:type="dxa" w:w="65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Contains: Total Sales, Cost of Sales, Net Profit</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Balance Sheet</w:t>
            </w:r>
          </w:p>
        </w:tc>
        <w:tc>
          <w:tcPr>
            <w:tcW w:type="dxa" w:w="65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Contains: Cash, Current Assets, Current Liabilities, Trade Debtors</w:t>
            </w:r>
          </w:p>
        </w:tc>
      </w:tr>
    </w:tbl>
    <w:p>
      <w:pPr>
        <w:spacing w:after="100" w:before="0"/>
      </w:pPr>
      <w:r>
        <w:t xml:space="preserve"/>
      </w:r>
    </w:p>
    <w:p>
      <w:pPr>
        <w:spacing w:after="60" w:before="60"/>
      </w:pPr>
      <w:r>
        <w:rPr>
          <w:rFonts w:ascii="Arial" w:cs="Arial" w:eastAsia="Arial" w:hAnsi="Arial"/>
          <w:color w:val="2D2D2D"/>
          <w:sz w:val="22"/>
          <w:szCs w:val="22"/>
        </w:rPr>
        <w:t xml:space="preserve">Set both reports to the same date range before you start. If you are reporting on a full financial year, use the start and end dates of that year.</w:t>
      </w:r>
    </w:p>
    <w:p>
      <w:pPr>
        <w:spacing w:after="160" w:before="0"/>
      </w:pPr>
      <w:r>
        <w:t xml:space="preserve"/>
      </w:r>
    </w:p>
    <w:p>
      <w:pPr>
        <w:pBdr>
          <w:bottom w:val="single" w:color="52177c" w:sz="4"/>
        </w:pBdr>
        <w:spacing w:after="100" w:before="280"/>
      </w:pPr>
      <w:r>
        <w:rPr>
          <w:rFonts w:ascii="Arial" w:cs="Arial" w:eastAsia="Arial" w:hAnsi="Arial"/>
          <w:b/>
          <w:bCs/>
          <w:color w:val="3a0f57"/>
          <w:sz w:val="26"/>
          <w:szCs w:val="26"/>
        </w:rPr>
        <w:t xml:space="preserve">Where to find your reports — by software</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Xero</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1</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Click Accounting in the top navigation menu</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2</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Select Reports from the dropdown</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3</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Under Financial Statements, select Profit &amp; Loss</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4</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Set your date range and click Update</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5</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Return to Reports and repeat for Balance Sheet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6</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Trade Debtors: this appears within Current Assets on your Balance Sheet — no separate report needed</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QuickBooks</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1</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Click Reports in the left-hand navigation panel</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2</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Under Business Overview, select Profit &amp; Loss</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3</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Set the report period using the date fields at the top and click Run Report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4</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Return to Reports and select Balance Sheet under Business Overview</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5</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Trade Debtors: look in the Current Assets section of your Balance Sheet — it will be labelled Accounts Receivable or Trade Debtors</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Sage 50</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1</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Go to Reports in the top navigation menu</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2</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Select Financial then Profit &amp; Loss</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3</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Set your reporting period and run the report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4</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Return to Financial and select Balance Sheet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5</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Trade Debtors: find this within Current Assets on your Balance Sheet, labelled Trade Debtors or Debtors</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Sage Accounting (online)</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1</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Click on Reporting in the top menu bar</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2</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Select Profit &amp; Loss Report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3</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Choose your date range and generate the report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4</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Return to Reporting and select Balance Sheet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5</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Trade Debtors: shown within Current Assets on the Balance Sheet — use the closing balance figure</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FreeAgent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1</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Click the Reports tab at the top of the screen</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2</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Select Profit &amp; Loss for your trading figures</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3</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Use the date filter to set your period and view the report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4</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Return to Reports and select Balance Sheet</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5</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Trade Debtors: shown within Current Assets on your Balance Sheet as Debtors or Accounts Receivable</w:t>
            </w:r>
          </w:p>
        </w:tc>
      </w:tr>
    </w:tbl>
    <w:p>
      <w:pPr>
        <w:spacing w:after="12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4"/>
                <w:szCs w:val="24"/>
              </w:rPr>
              <w:t xml:space="preserve">Tide / Starling / Monzo Business (banking apps)</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1</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These platforms have limited reporting — your P&amp;L and Balance Sheet figures may need to come from your own records or a connected accounting tool</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2</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For Total Sales, use your total income received during the period from your transaction history</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3</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For Cash Balance, use your closing bank balance on the last day of the period</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4</w:t>
            </w:r>
          </w:p>
        </w:tc>
        <w:tc>
          <w:tcPr>
            <w:tcW w:type="dxa" w:w="83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Starling connects with FreeAgent; Tide integrates with several accounting tools — if you use one, run the Balance Sheet report there for your Debtors figure</w:t>
            </w:r>
          </w:p>
        </w:tc>
      </w:tr>
      <w:tr>
        <w:tc>
          <w:tcPr>
            <w:tcW w:type="dxa" w:w="700"/>
            <w:tcBorders>
              <w:top w:val="single" w:color="CCCCCC" w:sz="1"/>
              <w:left w:val="single" w:color="CCCCCC" w:sz="1"/>
              <w:bottom w:val="single" w:color="CCCCCC" w:sz="1"/>
              <w:right w:val="single" w:color="CCCCCC" w:sz="1"/>
            </w:tcBorders>
            <w:shd w:fill="eddff0" w:val="clear"/>
            <w:tcMar>
              <w:top w:type="dxa" w:w="80"/>
              <w:left w:type="dxa" w:w="160"/>
              <w:bottom w:type="dxa" w:w="80"/>
              <w:right w:type="dxa" w:w="160"/>
            </w:tcMar>
            <w:vAlign w:val="center"/>
          </w:tcPr>
          <w:p>
            <w:pPr>
              <w:spacing w:after="0" w:before="0"/>
              <w:jc w:val="center"/>
            </w:pPr>
            <w:r>
              <w:rPr>
                <w:rFonts w:ascii="Arial" w:cs="Arial" w:eastAsia="Arial" w:hAnsi="Arial"/>
                <w:b/>
                <w:bCs/>
                <w:color w:val="3a0f57"/>
                <w:sz w:val="22"/>
                <w:szCs w:val="22"/>
              </w:rPr>
              <w:t xml:space="preserve">5</w:t>
            </w:r>
          </w:p>
        </w:tc>
        <w:tc>
          <w:tcPr>
            <w:tcW w:type="dxa" w:w="83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If you are unsure, your accountant or bookkeeper will be able to pull these figures quickly</w:t>
            </w:r>
          </w:p>
        </w:tc>
      </w:tr>
    </w:tbl>
    <w:p>
      <w:pPr>
        <w:spacing w:after="160" w:before="0"/>
      </w:pPr>
      <w:r>
        <w:t xml:space="preserve"/>
      </w:r>
    </w:p>
    <w:p>
      <w:pPr>
        <w:pBdr>
          <w:bottom w:val="single" w:color="52177c" w:sz="4"/>
        </w:pBdr>
        <w:spacing w:after="100" w:before="280"/>
      </w:pPr>
      <w:r>
        <w:rPr>
          <w:rFonts w:ascii="Arial" w:cs="Arial" w:eastAsia="Arial" w:hAnsi="Arial"/>
          <w:b/>
          <w:bCs/>
          <w:color w:val="3a0f57"/>
          <w:sz w:val="26"/>
          <w:szCs w:val="26"/>
        </w:rPr>
        <w:t xml:space="preserve">What each figure means — and where to find it</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2"/>
                <w:szCs w:val="22"/>
              </w:rPr>
              <w:t xml:space="preserve">Figure</w:t>
            </w:r>
          </w:p>
        </w:tc>
        <w:tc>
          <w:tcPr>
            <w:tcW w:type="dxa" w:w="6526"/>
            <w:tcBorders>
              <w:top w:val="single" w:color="52177c" w:sz="1"/>
              <w:left w:val="single" w:color="52177c" w:sz="1"/>
              <w:bottom w:val="single" w:color="52177c" w:sz="1"/>
              <w:right w:val="single" w:color="52177c" w:sz="1"/>
            </w:tcBorders>
            <w:shd w:fill="52177c" w:val="clear"/>
            <w:tcMar>
              <w:top w:type="dxa" w:w="100"/>
              <w:left w:type="dxa" w:w="160"/>
              <w:bottom w:type="dxa" w:w="100"/>
              <w:right w:type="dxa" w:w="160"/>
            </w:tcMar>
          </w:tcPr>
          <w:p>
            <w:pPr>
              <w:spacing w:after="0" w:before="0"/>
            </w:pPr>
            <w:r>
              <w:rPr>
                <w:rFonts w:ascii="Arial" w:cs="Arial" w:eastAsia="Arial" w:hAnsi="Arial"/>
                <w:b/>
                <w:bCs/>
                <w:color w:val="FFFFFF"/>
                <w:sz w:val="22"/>
                <w:szCs w:val="22"/>
              </w:rPr>
              <w:t xml:space="preserve">Where to find it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Total Sales / Turnover</w:t>
            </w:r>
          </w:p>
        </w:tc>
        <w:tc>
          <w:tcPr>
            <w:tcW w:type="dxa" w:w="65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Your total income for the year. At the very top of your Profit &amp; Loss, labelled Sales, Turnover, Revenue or Income. Use the full year total.</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Cost of Sales</w:t>
            </w:r>
          </w:p>
        </w:tc>
        <w:tc>
          <w:tcPr>
            <w:tcW w:type="dxa" w:w="65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Direct costs of delivering your product or service — materials, stock, subcontractors. On your P&amp;L directly below Sales, labelled Cost of Sales, Cost of Goods Sold or Direct Costs. If not separated, estimate costs that rise and fall directly with sales.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Net Profit</w:t>
            </w:r>
          </w:p>
        </w:tc>
        <w:tc>
          <w:tcPr>
            <w:tcW w:type="dxa" w:w="65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What remains after all costs. At the bottom of your P&amp;L, labelled Net Profit, Operating Profit or Profit Before Tax. Use the figure before tax where possible.</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Closing Cash Balance</w:t>
            </w:r>
          </w:p>
        </w:tc>
        <w:tc>
          <w:tcPr>
            <w:tcW w:type="dxa" w:w="65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Cash and bank funds held at the end of the period. On your Balance Sheet under Current Assets, labelled Cash, Cash at Bank or Bank Accounts. If multiple accounts, use the combined total.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Total Current Assets</w:t>
            </w:r>
          </w:p>
        </w:tc>
        <w:tc>
          <w:tcPr>
            <w:tcW w:type="dxa" w:w="65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Everything the business owns that will convert to cash within 12 months — cash, debtors, stock. Find the Current Assets subtotal on your Balance Sheet.</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Total Current Liabilities</w:t>
            </w:r>
          </w:p>
        </w:tc>
        <w:tc>
          <w:tcPr>
            <w:tcW w:type="dxa" w:w="65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Everything owed that is due within 12 months — supplier invoices, short-term loans, VAT, PAYE. Find the Current Liabilities subtotal on your Balance Sheet.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b/>
                <w:bCs/>
                <w:color w:val="3a0f57"/>
                <w:sz w:val="20"/>
                <w:szCs w:val="20"/>
              </w:rPr>
              <w:t xml:space="preserve">Trade Debtors</w:t>
            </w:r>
          </w:p>
        </w:tc>
        <w:tc>
          <w:tcPr>
            <w:tcW w:type="dxa" w:w="652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pPr>
              <w:spacing w:after="0" w:before="0"/>
            </w:pPr>
            <w:r>
              <w:rPr>
                <w:rFonts w:ascii="Arial" w:cs="Arial" w:eastAsia="Arial" w:hAnsi="Arial"/>
                <w:color w:val="2D2D2D"/>
                <w:sz w:val="20"/>
                <w:szCs w:val="20"/>
              </w:rPr>
              <w:t xml:space="preserve">Invoices raised but not yet paid by customers. On your Balance Sheet within the Current Assets section, labelled Trade Debtors, Accounts Receivable or Debtors. Use the figure shown there — this is the total outstanding at your year end date.</w:t>
            </w:r>
          </w:p>
        </w:tc>
      </w:tr>
    </w:tbl>
    <w:p>
      <w:pPr>
        <w:spacing w:after="1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52177c" w:sz="1"/>
              <w:left w:val="single" w:color="52177c" w:sz="1"/>
              <w:bottom w:val="single" w:color="52177c" w:sz="1"/>
              <w:right w:val="single" w:color="52177c" w:sz="1"/>
            </w:tcBorders>
            <w:shd w:fill="eddff0" w:val="clear"/>
            <w:tcMar>
              <w:top w:type="dxa" w:w="120"/>
              <w:left w:type="dxa" w:w="180"/>
              <w:bottom w:type="dxa" w:w="120"/>
              <w:right w:type="dxa" w:w="180"/>
            </w:tcMar>
          </w:tcPr>
          <w:p>
            <w:pPr>
              <w:spacing w:after="0" w:before="0"/>
            </w:pPr>
            <w:r>
              <w:rPr>
                <w:rFonts w:ascii="Arial" w:cs="Arial" w:eastAsia="Arial" w:hAnsi="Arial"/>
                <w:b/>
                <w:bCs/>
                <w:color w:val="3a0f57"/>
                <w:sz w:val="22"/>
                <w:szCs w:val="22"/>
              </w:rPr>
              <w:t xml:space="preserve">Tip: </w:t>
            </w:r>
            <w:r>
              <w:rPr>
                <w:rFonts w:ascii="Arial" w:cs="Arial" w:eastAsia="Arial" w:hAnsi="Arial"/>
                <w:color w:val="2D2D2D"/>
                <w:sz w:val="22"/>
                <w:szCs w:val="22"/>
              </w:rPr>
              <w:t xml:space="preserve">If your Gross Profit (Sales minus Cost of Sales) looks too high or too low, it's worth checking whether some costs have been coded to the wrong category in your software. Your accountant can help with this.</w:t>
            </w:r>
          </w:p>
        </w:tc>
      </w:tr>
    </w:tbl>
    <w:p>
      <w:pPr>
        <w:spacing w:after="160" w:before="0"/>
      </w:pPr>
      <w:r>
        <w:t xml:space="preserve"/>
      </w:r>
    </w:p>
    <w:p>
      <w:pPr>
        <w:pBdr>
          <w:bottom w:val="single" w:color="52177c" w:sz="4"/>
        </w:pBdr>
        <w:spacing w:after="100" w:before="280"/>
      </w:pPr>
      <w:r>
        <w:rPr>
          <w:rFonts w:ascii="Arial" w:cs="Arial" w:eastAsia="Arial" w:hAnsi="Arial"/>
          <w:b/>
          <w:bCs/>
          <w:color w:val="3a0f57"/>
          <w:sz w:val="26"/>
          <w:szCs w:val="26"/>
        </w:rPr>
        <w:t xml:space="preserve">Not sure where to start?</w:t>
      </w:r>
    </w:p>
    <w:p>
      <w:pPr>
        <w:spacing w:after="60" w:before="60"/>
      </w:pPr>
      <w:r>
        <w:rPr>
          <w:rFonts w:ascii="Arial" w:cs="Arial" w:eastAsia="Arial" w:hAnsi="Arial"/>
          <w:color w:val="2D2D2D"/>
          <w:sz w:val="22"/>
          <w:szCs w:val="22"/>
        </w:rPr>
        <w:t xml:space="preserve">If you're finding it difficult to locate any of these figures, here are a few simple options:</w:t>
      </w:r>
    </w:p>
    <w:p>
      <w:pPr>
        <w:spacing w:after="40" w:before="0"/>
      </w:pPr>
      <w:r>
        <w:t xml:space="preserve"/>
      </w:r>
    </w:p>
    <w:p>
      <w:pPr>
        <w:pStyle w:val="ListParagraph"/>
        <w:numPr>
          <w:ilvl w:val="0"/>
          <w:numId w:val="2"/>
        </w:numPr>
        <w:spacing w:after="40" w:before="40"/>
      </w:pPr>
      <w:r>
        <w:rPr>
          <w:rFonts w:ascii="Arial" w:cs="Arial" w:eastAsia="Arial" w:hAnsi="Arial"/>
          <w:b w:val="false"/>
          <w:bCs w:val="false"/>
          <w:color w:val="2D2D2D"/>
          <w:sz w:val="22"/>
          <w:szCs w:val="22"/>
        </w:rPr>
        <w:t xml:space="preserve">Ask your accountant or bookkeeper — they can pull these figures in minutes</w:t>
      </w:r>
    </w:p>
    <w:p>
      <w:pPr>
        <w:pStyle w:val="ListParagraph"/>
        <w:numPr>
          <w:ilvl w:val="0"/>
          <w:numId w:val="2"/>
        </w:numPr>
        <w:spacing w:after="40" w:before="40"/>
      </w:pPr>
      <w:r>
        <w:rPr>
          <w:rFonts w:ascii="Arial" w:cs="Arial" w:eastAsia="Arial" w:hAnsi="Arial"/>
          <w:b w:val="false"/>
          <w:bCs w:val="false"/>
          <w:color w:val="2D2D2D"/>
          <w:sz w:val="22"/>
          <w:szCs w:val="22"/>
        </w:rPr>
        <w:t xml:space="preserve">Check your most recent set of management accounts, which will contain most of these numbers already</w:t>
      </w:r>
    </w:p>
    <w:p>
      <w:pPr>
        <w:pStyle w:val="ListParagraph"/>
        <w:numPr>
          <w:ilvl w:val="0"/>
          <w:numId w:val="2"/>
        </w:numPr>
        <w:spacing w:after="40" w:before="40"/>
      </w:pPr>
      <w:r>
        <w:rPr>
          <w:rFonts w:ascii="Arial" w:cs="Arial" w:eastAsia="Arial" w:hAnsi="Arial"/>
          <w:b w:val="false"/>
          <w:bCs w:val="false"/>
          <w:color w:val="2D2D2D"/>
          <w:sz w:val="22"/>
          <w:szCs w:val="22"/>
        </w:rPr>
        <w:t xml:space="preserve">Look at your year-end accounts if your financial year has recently ended</w:t>
      </w:r>
    </w:p>
    <w:p>
      <w:pPr>
        <w:spacing w:after="80" w:before="0"/>
      </w:pPr>
      <w:r>
        <w:t xml:space="preserve"/>
      </w:r>
    </w:p>
    <w:p>
      <w:pPr>
        <w:spacing w:after="60" w:before="60"/>
      </w:pPr>
      <w:r>
        <w:rPr>
          <w:rFonts w:ascii="Arial" w:cs="Arial" w:eastAsia="Arial" w:hAnsi="Arial"/>
          <w:color w:val="2D2D2D"/>
          <w:sz w:val="22"/>
          <w:szCs w:val="22"/>
        </w:rPr>
        <w:t xml:space="preserve">And if you'd like someone to walk you through your results once you've completed the MOT, that's exactly what the MOT + Debrief call is for.</w:t>
      </w:r>
    </w:p>
    <w:p>
      <w:pPr>
        <w:spacing w:after="120" w:before="0"/>
      </w:pPr>
      <w:r>
        <w:t xml:space="preserve"/>
      </w:r>
    </w:p>
    <w:p>
      <w:pPr>
        <w:shd w:fill="52177c" w:val="clear"/>
        <w:spacing w:after="120" w:before="120"/>
        <w:jc w:val="center"/>
      </w:pPr>
      <w:r>
        <w:rPr>
          <w:rFonts w:ascii="Arial" w:cs="Arial" w:eastAsia="Arial" w:hAnsi="Arial"/>
          <w:color w:val="FFFFFF"/>
          <w:sz w:val="18"/>
          <w:szCs w:val="18"/>
        </w:rPr>
        <w:t xml:space="preserve">Purple Squirrel Consultancy Ltd  |  beth@purple-squirrel.uk  |  www.purple-squirrel.uk</w:t>
      </w:r>
    </w:p>
    <w:sectPr>
      <w:headerReference w:type="default" r:id="rId7"/>
      <w:footerReference w:type="default" r:id="rId8"/>
      <w:pgSz w:w="11906" w:h="16838" w:orient="portrait"/>
      <w:pgMar w:top="1000" w:right="1134" w:bottom="10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ddff0" w:sz="4"/>
      </w:pBdr>
      <w:spacing w:after="40" w:before="80"/>
    </w:pPr>
    <w:r>
      <w:t xml:space="preserve"/>
    </w:r>
  </w:p>
  <w:p>
    <w:pPr>
      <w:spacing w:after="0" w:before="0"/>
      <w:jc w:val="center"/>
    </w:pPr>
    <w:r>
      <w:rPr>
        <w:rFonts w:ascii="Arial" w:cs="Arial" w:eastAsia="Arial" w:hAnsi="Arial"/>
        <w:color w:val="52177c"/>
        <w:sz w:val="16"/>
        <w:szCs w:val="16"/>
      </w:rPr>
      <w:t xml:space="preserve">Purple Squirrel Consultancy Ltd  |  Financial Clarity for Confident Decisions  |  Page </w:t>
    </w:r>
    <w:r>
      <w:rPr>
        <w:rFonts w:ascii="Arial" w:cs="Arial" w:eastAsia="Arial" w:hAnsi="Arial"/>
        <w:color w:val="52177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26"/>
      <w:gridCol w:w="3000"/>
    </w:tblGrid>
    <w:tr>
      <w:tc>
        <w:tcPr>
          <w:tcW w:type="dxa" w:w="6026"/>
          <w:tcBorders>
            <w:top w:val="none" w:color="FFFFFF" w:sz="0"/>
            <w:left w:val="none" w:color="FFFFFF" w:sz="0"/>
            <w:bottom w:val="none" w:color="FFFFFF" w:sz="0"/>
            <w:right w:val="none" w:color="FFFFFF" w:sz="0"/>
          </w:tcBorders>
          <w:tcMar>
            <w:top w:type="dxa" w:w="60"/>
            <w:left w:type="dxa" w:w="0"/>
            <w:bottom w:type="dxa" w:w="60"/>
            <w:right w:type="dxa" w:w="120"/>
          </w:tcMar>
          <w:vAlign w:val="center"/>
        </w:tcPr>
        <w:p>
          <w:pPr>
            <w:spacing w:after="0" w:before="0"/>
          </w:pPr>
          <w:r>
            <w:rPr>
              <w:rFonts w:ascii="Arial" w:cs="Arial" w:eastAsia="Arial" w:hAnsi="Arial"/>
              <w:b/>
              <w:bCs/>
              <w:color w:val="52177c"/>
              <w:sz w:val="18"/>
              <w:szCs w:val="18"/>
            </w:rPr>
            <w:t xml:space="preserve">Business MOT — Finding Your Figures</w:t>
          </w:r>
        </w:p>
      </w:tc>
      <w:tc>
        <w:tcPr>
          <w:tcW w:type="dxa" w:w="3000"/>
          <w:tcBorders>
            <w:top w:val="none" w:color="FFFFFF" w:sz="0"/>
            <w:left w:val="none" w:color="FFFFFF" w:sz="0"/>
            <w:bottom w:val="none" w:color="FFFFFF" w:sz="0"/>
            <w:right w:val="none" w:color="FFFFFF" w:sz="0"/>
          </w:tcBorders>
          <w:tcMar>
            <w:top w:type="dxa" w:w="60"/>
            <w:left w:type="dxa" w:w="120"/>
            <w:bottom w:type="dxa" w:w="60"/>
            <w:right w:type="dxa" w:w="0"/>
          </w:tcMar>
          <w:vAlign w:val="center"/>
        </w:tcPr>
        <w:p>
          <w:pPr>
            <w:spacing w:after="0" w:before="0"/>
            <w:jc w:val="right"/>
          </w:pPr>
          <w:r>
            <w:rPr>
              <w:rFonts w:ascii="Arial" w:cs="Arial" w:eastAsia="Arial" w:hAnsi="Arial"/>
              <w:color w:val="52177c"/>
              <w:sz w:val="18"/>
              <w:szCs w:val="18"/>
            </w:rPr>
            <w:t xml:space="preserve">www.purple-squirrel.uk</w:t>
          </w:r>
        </w:p>
      </w:tc>
    </w:tr>
  </w:tbl>
  <w:p>
    <w:pPr>
      <w:pBdr>
        <w:bottom w:val="single" w:color="52177c" w:sz="6"/>
      </w:pBdr>
      <w:spacing w:after="8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2026-04-10T14:51:36.533Z</dcterms:created>
  <dcterms:modified xsi:type="dcterms:W3CDTF">2026-04-10T14:51:36.534Z</dcterms:modified>
</cp:coreProperties>
</file>

<file path=docProps/custom.xml><?xml version="1.0" encoding="utf-8"?>
<Properties xmlns="http://schemas.openxmlformats.org/officeDocument/2006/custom-properties" xmlns:vt="http://schemas.openxmlformats.org/officeDocument/2006/docPropsVTypes"/>
</file>